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4064" w14:textId="77777777" w:rsidR="00B115C1" w:rsidRPr="00CF48BF" w:rsidRDefault="00B115C1" w:rsidP="00B115C1">
      <w:pPr>
        <w:pStyle w:val="Paragraphedeliste"/>
        <w:numPr>
          <w:ilvl w:val="0"/>
          <w:numId w:val="2"/>
        </w:numPr>
        <w:shd w:val="clear" w:color="auto" w:fill="DAEEF3" w:themeFill="accent5" w:themeFillTint="33"/>
        <w:spacing w:after="0" w:line="240" w:lineRule="auto"/>
        <w:ind w:right="465"/>
        <w:rPr>
          <w:rFonts w:eastAsia="Times New Roman" w:cstheme="minorHAnsi"/>
          <w:bCs/>
          <w:sz w:val="24"/>
          <w:szCs w:val="24"/>
          <w:lang w:eastAsia="fr-FR"/>
        </w:rPr>
      </w:pPr>
      <w:r w:rsidRPr="00CF48BF">
        <w:rPr>
          <w:rFonts w:eastAsia="Times New Roman" w:cstheme="minorHAnsi"/>
          <w:bCs/>
          <w:sz w:val="24"/>
          <w:szCs w:val="24"/>
          <w:lang w:eastAsia="fr-FR"/>
        </w:rPr>
        <w:t xml:space="preserve">Documents de référence pour remplir </w:t>
      </w:r>
      <w:r>
        <w:rPr>
          <w:rFonts w:eastAsia="Times New Roman" w:cstheme="minorHAnsi"/>
          <w:bCs/>
          <w:sz w:val="24"/>
          <w:szCs w:val="24"/>
          <w:lang w:eastAsia="fr-FR"/>
        </w:rPr>
        <w:t xml:space="preserve">la </w:t>
      </w:r>
      <w:r w:rsidRPr="00CF48BF">
        <w:rPr>
          <w:rFonts w:eastAsia="Times New Roman" w:cstheme="minorHAnsi"/>
          <w:bCs/>
          <w:sz w:val="24"/>
          <w:szCs w:val="24"/>
          <w:lang w:eastAsia="fr-FR"/>
        </w:rPr>
        <w:t>réglette :</w:t>
      </w:r>
    </w:p>
    <w:p w14:paraId="613A3470" w14:textId="77777777" w:rsidR="00B115C1" w:rsidRDefault="00B115C1" w:rsidP="00B115C1">
      <w:pPr>
        <w:spacing w:after="0" w:line="240" w:lineRule="auto"/>
        <w:ind w:left="-567" w:right="465"/>
        <w:rPr>
          <w:rFonts w:eastAsia="Times New Roman" w:cstheme="minorHAnsi"/>
          <w:b/>
          <w:bCs/>
          <w:sz w:val="24"/>
          <w:szCs w:val="24"/>
          <w:lang w:eastAsia="fr-FR"/>
        </w:rPr>
      </w:pPr>
    </w:p>
    <w:p w14:paraId="10FA8D20" w14:textId="77777777" w:rsidR="00B115C1" w:rsidRPr="00751B29" w:rsidRDefault="00B115C1" w:rsidP="00B115C1">
      <w:pPr>
        <w:pStyle w:val="Paragraphedeliste"/>
        <w:spacing w:after="0" w:line="240" w:lineRule="auto"/>
        <w:ind w:left="0" w:right="465"/>
        <w:rPr>
          <w:rFonts w:eastAsia="Times New Roman" w:cstheme="minorHAnsi"/>
          <w:b/>
          <w:bCs/>
          <w:i/>
          <w:sz w:val="24"/>
          <w:szCs w:val="24"/>
          <w:lang w:eastAsia="fr-FR"/>
        </w:rPr>
      </w:pPr>
      <w:r w:rsidRPr="00751B29">
        <w:rPr>
          <w:rFonts w:eastAsia="Times New Roman" w:cstheme="minorHAnsi"/>
          <w:b/>
          <w:bCs/>
          <w:i/>
          <w:sz w:val="24"/>
          <w:szCs w:val="24"/>
          <w:lang w:eastAsia="fr-FR"/>
        </w:rPr>
        <w:t>Sélection des médicaments (en abscisse et en ordonnée) :</w:t>
      </w:r>
    </w:p>
    <w:p w14:paraId="7704AF55" w14:textId="77777777" w:rsidR="00B115C1" w:rsidRPr="00751B29" w:rsidRDefault="00B115C1" w:rsidP="00B115C1">
      <w:pPr>
        <w:pStyle w:val="Paragraphedeliste"/>
        <w:numPr>
          <w:ilvl w:val="0"/>
          <w:numId w:val="1"/>
        </w:numPr>
        <w:spacing w:after="0" w:line="240" w:lineRule="auto"/>
        <w:ind w:left="-284" w:right="465"/>
        <w:rPr>
          <w:rFonts w:eastAsia="Times New Roman" w:cstheme="minorHAnsi"/>
          <w:bCs/>
          <w:sz w:val="24"/>
          <w:szCs w:val="24"/>
          <w:lang w:eastAsia="fr-FR"/>
        </w:rPr>
      </w:pPr>
      <w:r w:rsidRPr="00751B29">
        <w:rPr>
          <w:rFonts w:eastAsia="Times New Roman" w:cstheme="minorHAnsi"/>
          <w:bCs/>
          <w:sz w:val="24"/>
          <w:szCs w:val="24"/>
          <w:lang w:eastAsia="fr-FR"/>
        </w:rPr>
        <w:t xml:space="preserve">Base des médicaments de l’Agence Européenne du médicament </w:t>
      </w:r>
      <w:r>
        <w:rPr>
          <w:rFonts w:eastAsia="Times New Roman" w:cstheme="minorHAnsi"/>
          <w:bCs/>
          <w:sz w:val="24"/>
          <w:szCs w:val="24"/>
          <w:lang w:eastAsia="fr-FR"/>
        </w:rPr>
        <w:t xml:space="preserve">(en se limitant aux médicaments disponibles en France) </w:t>
      </w:r>
      <w:r w:rsidRPr="00751B29">
        <w:rPr>
          <w:rFonts w:eastAsia="Times New Roman" w:cstheme="minorHAnsi"/>
          <w:bCs/>
          <w:sz w:val="18"/>
          <w:szCs w:val="24"/>
          <w:lang w:eastAsia="fr-FR"/>
        </w:rPr>
        <w:t>(</w:t>
      </w:r>
      <w:hyperlink r:id="rId6" w:history="1">
        <w:r w:rsidRPr="00751B29">
          <w:rPr>
            <w:rStyle w:val="Lienhypertexte"/>
            <w:rFonts w:eastAsia="Times New Roman" w:cstheme="minorHAnsi"/>
            <w:sz w:val="18"/>
            <w:szCs w:val="24"/>
            <w:lang w:eastAsia="fr-FR"/>
          </w:rPr>
          <w:t>http://www.ema.europa.eu/ema/index.jsp?curl=pages/medicines/landing/epar_search.jsp&amp;mid=WC0b01ac058001d124</w:t>
        </w:r>
      </w:hyperlink>
      <w:r w:rsidRPr="00751B29">
        <w:rPr>
          <w:rFonts w:eastAsia="Times New Roman" w:cstheme="minorHAnsi"/>
          <w:bCs/>
          <w:sz w:val="18"/>
          <w:szCs w:val="24"/>
          <w:lang w:eastAsia="fr-FR"/>
        </w:rPr>
        <w:t xml:space="preserve">) </w:t>
      </w:r>
    </w:p>
    <w:p w14:paraId="09C73E40" w14:textId="77777777" w:rsidR="00B115C1" w:rsidRPr="00751B29" w:rsidRDefault="00B115C1" w:rsidP="00B115C1">
      <w:pPr>
        <w:pStyle w:val="Paragraphedeliste"/>
        <w:numPr>
          <w:ilvl w:val="0"/>
          <w:numId w:val="1"/>
        </w:numPr>
        <w:spacing w:after="0" w:line="240" w:lineRule="auto"/>
        <w:ind w:left="-284" w:right="465"/>
        <w:rPr>
          <w:rFonts w:eastAsia="Times New Roman" w:cstheme="minorHAnsi"/>
          <w:bCs/>
          <w:sz w:val="20"/>
          <w:szCs w:val="24"/>
          <w:lang w:eastAsia="fr-FR"/>
        </w:rPr>
      </w:pPr>
      <w:r w:rsidRPr="00751B29">
        <w:rPr>
          <w:rFonts w:eastAsia="Times New Roman" w:cstheme="minorHAnsi"/>
          <w:bCs/>
          <w:sz w:val="24"/>
          <w:szCs w:val="24"/>
          <w:lang w:eastAsia="fr-FR"/>
        </w:rPr>
        <w:t>Répertoire des médicaments de l’ANSM (</w:t>
      </w:r>
      <w:hyperlink r:id="rId7" w:history="1">
        <w:r w:rsidRPr="00751B29">
          <w:rPr>
            <w:rStyle w:val="Lienhypertexte"/>
            <w:rFonts w:eastAsia="Times New Roman" w:cstheme="minorHAnsi"/>
            <w:sz w:val="20"/>
            <w:szCs w:val="24"/>
            <w:lang w:eastAsia="fr-FR"/>
          </w:rPr>
          <w:t>http://ansm.sante.fr/Services/Repertoire-des-medicaments</w:t>
        </w:r>
      </w:hyperlink>
      <w:r w:rsidRPr="00751B29">
        <w:rPr>
          <w:rFonts w:eastAsia="Times New Roman" w:cstheme="minorHAnsi"/>
          <w:bCs/>
          <w:sz w:val="20"/>
          <w:szCs w:val="24"/>
          <w:lang w:eastAsia="fr-FR"/>
        </w:rPr>
        <w:t>)</w:t>
      </w:r>
    </w:p>
    <w:p w14:paraId="3BABE628" w14:textId="77777777" w:rsidR="00B115C1" w:rsidRPr="0050013E" w:rsidRDefault="00B115C1" w:rsidP="00B115C1">
      <w:pPr>
        <w:pStyle w:val="Paragraphedeliste"/>
        <w:numPr>
          <w:ilvl w:val="0"/>
          <w:numId w:val="1"/>
        </w:numPr>
        <w:spacing w:after="0" w:line="240" w:lineRule="auto"/>
        <w:ind w:left="-284" w:right="465"/>
        <w:rPr>
          <w:rFonts w:eastAsia="Times New Roman" w:cstheme="minorHAnsi"/>
          <w:bCs/>
          <w:sz w:val="28"/>
          <w:szCs w:val="24"/>
          <w:lang w:eastAsia="fr-FR"/>
        </w:rPr>
      </w:pPr>
      <w:r w:rsidRPr="00751B29">
        <w:rPr>
          <w:rFonts w:eastAsia="Times New Roman" w:cstheme="minorHAnsi"/>
          <w:bCs/>
          <w:sz w:val="24"/>
          <w:szCs w:val="24"/>
          <w:lang w:eastAsia="fr-FR"/>
        </w:rPr>
        <w:t xml:space="preserve">Base de données Thériaque </w:t>
      </w:r>
      <w:r w:rsidRPr="00751B29">
        <w:rPr>
          <w:rFonts w:eastAsia="Times New Roman" w:cstheme="minorHAnsi"/>
          <w:bCs/>
          <w:sz w:val="20"/>
          <w:szCs w:val="24"/>
          <w:lang w:eastAsia="fr-FR"/>
        </w:rPr>
        <w:t>(</w:t>
      </w:r>
      <w:hyperlink r:id="rId8" w:history="1">
        <w:r w:rsidRPr="00751B29">
          <w:rPr>
            <w:rStyle w:val="Lienhypertexte"/>
            <w:rFonts w:eastAsia="Times New Roman" w:cstheme="minorHAnsi"/>
            <w:sz w:val="20"/>
            <w:szCs w:val="24"/>
            <w:lang w:eastAsia="fr-FR"/>
          </w:rPr>
          <w:t>http://www.theriaque.org/apps/recherche/rch_simple.php</w:t>
        </w:r>
      </w:hyperlink>
      <w:r w:rsidRPr="00751B29">
        <w:rPr>
          <w:rFonts w:eastAsia="Times New Roman" w:cstheme="minorHAnsi"/>
          <w:bCs/>
          <w:sz w:val="20"/>
          <w:szCs w:val="24"/>
          <w:lang w:eastAsia="fr-FR"/>
        </w:rPr>
        <w:t>)</w:t>
      </w:r>
      <w:r>
        <w:rPr>
          <w:rFonts w:eastAsia="Times New Roman" w:cstheme="minorHAnsi"/>
          <w:bCs/>
          <w:sz w:val="20"/>
          <w:szCs w:val="24"/>
          <w:lang w:eastAsia="fr-FR"/>
        </w:rPr>
        <w:t>.</w:t>
      </w:r>
      <w:bookmarkStart w:id="0" w:name="_GoBack"/>
      <w:bookmarkEnd w:id="0"/>
      <w:r w:rsidRPr="0050013E">
        <w:rPr>
          <w:rFonts w:eastAsia="Times New Roman" w:cstheme="minorHAnsi"/>
          <w:bCs/>
          <w:szCs w:val="24"/>
          <w:lang w:eastAsia="fr-FR"/>
        </w:rPr>
        <w:t>.</w:t>
      </w:r>
    </w:p>
    <w:p w14:paraId="4CA95C41" w14:textId="77777777" w:rsidR="00B115C1" w:rsidRDefault="00B115C1" w:rsidP="00B115C1">
      <w:pPr>
        <w:pStyle w:val="Paragraphedeliste"/>
        <w:numPr>
          <w:ilvl w:val="0"/>
          <w:numId w:val="1"/>
        </w:numPr>
        <w:spacing w:after="0" w:line="240" w:lineRule="auto"/>
        <w:ind w:left="-284" w:right="465"/>
        <w:rPr>
          <w:rFonts w:eastAsia="Times New Roman" w:cstheme="minorHAnsi"/>
          <w:bCs/>
          <w:sz w:val="24"/>
          <w:szCs w:val="24"/>
          <w:lang w:eastAsia="fr-FR"/>
        </w:rPr>
      </w:pPr>
      <w:r w:rsidRPr="00751B29">
        <w:rPr>
          <w:rFonts w:eastAsia="Times New Roman" w:cstheme="minorHAnsi"/>
          <w:bCs/>
          <w:sz w:val="24"/>
          <w:szCs w:val="24"/>
          <w:lang w:eastAsia="fr-FR"/>
        </w:rPr>
        <w:t xml:space="preserve">Ainsi que sur le rapport </w:t>
      </w:r>
      <w:proofErr w:type="spellStart"/>
      <w:r w:rsidRPr="00751B29">
        <w:rPr>
          <w:rFonts w:eastAsia="Times New Roman" w:cstheme="minorHAnsi"/>
          <w:bCs/>
          <w:sz w:val="24"/>
          <w:szCs w:val="24"/>
          <w:lang w:eastAsia="fr-FR"/>
        </w:rPr>
        <w:t>Morlat</w:t>
      </w:r>
      <w:proofErr w:type="spellEnd"/>
      <w:r w:rsidRPr="00751B29">
        <w:rPr>
          <w:rFonts w:eastAsia="Times New Roman" w:cstheme="minorHAnsi"/>
          <w:bCs/>
          <w:sz w:val="24"/>
          <w:szCs w:val="24"/>
          <w:lang w:eastAsia="fr-FR"/>
        </w:rPr>
        <w:t xml:space="preserve"> 2017 pour la sélection des ARV les plus dispensés et dernières recommandations de l’AFEF pour les DAA.</w:t>
      </w:r>
    </w:p>
    <w:p w14:paraId="18450DA5" w14:textId="77777777" w:rsidR="00B115C1" w:rsidRPr="0050013E" w:rsidRDefault="00B115C1" w:rsidP="00B115C1">
      <w:pPr>
        <w:pStyle w:val="Paragraphedeliste"/>
        <w:numPr>
          <w:ilvl w:val="0"/>
          <w:numId w:val="1"/>
        </w:numPr>
        <w:spacing w:after="0" w:line="240" w:lineRule="auto"/>
        <w:ind w:left="-284" w:right="465"/>
        <w:rPr>
          <w:rFonts w:eastAsia="Times New Roman" w:cstheme="minorHAnsi"/>
          <w:bCs/>
          <w:sz w:val="28"/>
          <w:szCs w:val="24"/>
          <w:lang w:eastAsia="fr-FR"/>
        </w:rPr>
      </w:pPr>
      <w:r w:rsidRPr="0050013E">
        <w:rPr>
          <w:rFonts w:eastAsia="Times New Roman" w:cstheme="minorHAnsi"/>
          <w:bCs/>
          <w:szCs w:val="24"/>
          <w:lang w:eastAsia="fr-FR"/>
        </w:rPr>
        <w:t>Base de données CPAM et CNAMTS pour la liste des méd</w:t>
      </w:r>
      <w:r w:rsidR="002B2056">
        <w:rPr>
          <w:rFonts w:eastAsia="Times New Roman" w:cstheme="minorHAnsi"/>
          <w:bCs/>
          <w:szCs w:val="24"/>
          <w:lang w:eastAsia="fr-FR"/>
        </w:rPr>
        <w:t>icaments les plus prescrits.</w:t>
      </w:r>
    </w:p>
    <w:p w14:paraId="2C29393A" w14:textId="77777777" w:rsidR="00B115C1" w:rsidRPr="00751B29" w:rsidRDefault="00B115C1" w:rsidP="00B115C1">
      <w:pPr>
        <w:pStyle w:val="Paragraphedeliste"/>
        <w:numPr>
          <w:ilvl w:val="0"/>
          <w:numId w:val="1"/>
        </w:numPr>
        <w:spacing w:after="0" w:line="240" w:lineRule="auto"/>
        <w:ind w:left="-284" w:right="465"/>
        <w:rPr>
          <w:rFonts w:eastAsia="Times New Roman" w:cstheme="minorHAnsi"/>
          <w:bCs/>
          <w:sz w:val="24"/>
          <w:szCs w:val="24"/>
          <w:lang w:eastAsia="fr-FR"/>
        </w:rPr>
      </w:pPr>
      <w:r>
        <w:rPr>
          <w:rFonts w:eastAsia="Times New Roman" w:cstheme="minorHAnsi"/>
          <w:bCs/>
          <w:sz w:val="24"/>
          <w:szCs w:val="24"/>
          <w:lang w:eastAsia="fr-FR"/>
        </w:rPr>
        <w:t>Pour les plantes, nous nous baserons sur la liste des médicaments à base de plantes présents dans les tables d’interactions de l’université de Liverpool et sur les retours d’expérience de médecins, pharmaciens et associatifs spécialistes du suivi de personnes sous traitement ARV.</w:t>
      </w:r>
    </w:p>
    <w:p w14:paraId="44852815" w14:textId="77777777" w:rsidR="00B115C1" w:rsidRPr="00751B29" w:rsidRDefault="00B115C1" w:rsidP="00B115C1">
      <w:pPr>
        <w:pStyle w:val="Paragraphedeliste"/>
        <w:spacing w:after="0" w:line="240" w:lineRule="auto"/>
        <w:ind w:left="0" w:right="465"/>
        <w:rPr>
          <w:rFonts w:eastAsia="Times New Roman" w:cstheme="minorHAnsi"/>
          <w:b/>
          <w:bCs/>
          <w:sz w:val="24"/>
          <w:szCs w:val="24"/>
          <w:lang w:eastAsia="fr-FR"/>
        </w:rPr>
      </w:pPr>
    </w:p>
    <w:p w14:paraId="435F8871" w14:textId="77777777" w:rsidR="00B115C1" w:rsidRDefault="00B115C1" w:rsidP="00B115C1">
      <w:pPr>
        <w:spacing w:after="0" w:line="240" w:lineRule="auto"/>
        <w:ind w:right="465"/>
        <w:rPr>
          <w:rFonts w:eastAsia="Times New Roman" w:cstheme="minorHAnsi"/>
          <w:b/>
          <w:bCs/>
          <w:i/>
          <w:sz w:val="24"/>
          <w:szCs w:val="24"/>
          <w:lang w:eastAsia="fr-FR"/>
        </w:rPr>
      </w:pPr>
      <w:r w:rsidRPr="00751B29">
        <w:rPr>
          <w:rFonts w:eastAsia="Times New Roman" w:cstheme="minorHAnsi"/>
          <w:b/>
          <w:bCs/>
          <w:i/>
          <w:sz w:val="24"/>
          <w:szCs w:val="24"/>
          <w:lang w:eastAsia="fr-FR"/>
        </w:rPr>
        <w:t>Interactions</w:t>
      </w:r>
    </w:p>
    <w:p w14:paraId="43023696" w14:textId="77777777" w:rsidR="002B2056" w:rsidRDefault="00B115C1" w:rsidP="00B115C1">
      <w:pPr>
        <w:spacing w:after="0" w:line="240" w:lineRule="auto"/>
        <w:ind w:left="-567" w:right="465"/>
        <w:rPr>
          <w:rFonts w:eastAsia="Times New Roman" w:cstheme="minorHAnsi"/>
          <w:bCs/>
          <w:sz w:val="24"/>
          <w:szCs w:val="24"/>
          <w:lang w:eastAsia="fr-FR"/>
        </w:rPr>
      </w:pPr>
      <w:r>
        <w:rPr>
          <w:rFonts w:eastAsia="Times New Roman" w:cstheme="minorHAnsi"/>
          <w:bCs/>
          <w:sz w:val="24"/>
          <w:szCs w:val="24"/>
          <w:lang w:eastAsia="fr-FR"/>
        </w:rPr>
        <w:t xml:space="preserve">1. tables d’interactions de l’université de Liverpool </w:t>
      </w:r>
      <w:r w:rsidRPr="00751B29">
        <w:rPr>
          <w:rFonts w:eastAsia="Times New Roman" w:cstheme="minorHAnsi"/>
          <w:bCs/>
          <w:sz w:val="16"/>
          <w:szCs w:val="24"/>
          <w:lang w:eastAsia="fr-FR"/>
        </w:rPr>
        <w:t>(</w:t>
      </w:r>
      <w:hyperlink r:id="rId9" w:history="1">
        <w:r w:rsidRPr="00751B29">
          <w:rPr>
            <w:rStyle w:val="Lienhypertexte"/>
            <w:rFonts w:eastAsia="Times New Roman" w:cstheme="minorHAnsi"/>
            <w:sz w:val="16"/>
            <w:szCs w:val="24"/>
            <w:lang w:eastAsia="fr-FR"/>
          </w:rPr>
          <w:t>http://www.hiv-druginteractions.org/checker</w:t>
        </w:r>
      </w:hyperlink>
      <w:r w:rsidRPr="00751B29">
        <w:rPr>
          <w:rFonts w:eastAsia="Times New Roman" w:cstheme="minorHAnsi"/>
          <w:bCs/>
          <w:sz w:val="16"/>
          <w:szCs w:val="24"/>
          <w:lang w:eastAsia="fr-FR"/>
        </w:rPr>
        <w:t xml:space="preserve"> et </w:t>
      </w:r>
      <w:hyperlink r:id="rId10" w:history="1">
        <w:r w:rsidRPr="00751B29">
          <w:rPr>
            <w:rStyle w:val="Lienhypertexte"/>
            <w:rFonts w:eastAsia="Times New Roman" w:cstheme="minorHAnsi"/>
            <w:sz w:val="16"/>
            <w:szCs w:val="24"/>
            <w:lang w:eastAsia="fr-FR"/>
          </w:rPr>
          <w:t>http://www.hep-druginteractions.org/</w:t>
        </w:r>
      </w:hyperlink>
      <w:proofErr w:type="gramStart"/>
      <w:r w:rsidRPr="00751B29">
        <w:rPr>
          <w:rFonts w:eastAsia="Times New Roman" w:cstheme="minorHAnsi"/>
          <w:bCs/>
          <w:sz w:val="16"/>
          <w:szCs w:val="24"/>
          <w:lang w:eastAsia="fr-FR"/>
        </w:rPr>
        <w:t xml:space="preserve"> )</w:t>
      </w:r>
      <w:proofErr w:type="gramEnd"/>
      <w:r>
        <w:rPr>
          <w:rFonts w:eastAsia="Times New Roman" w:cstheme="minorHAnsi"/>
          <w:bCs/>
          <w:sz w:val="16"/>
          <w:szCs w:val="24"/>
          <w:lang w:eastAsia="fr-FR"/>
        </w:rPr>
        <w:t xml:space="preserve">. </w:t>
      </w:r>
    </w:p>
    <w:p w14:paraId="46F4E2AC" w14:textId="77777777" w:rsidR="00B115C1" w:rsidRDefault="00B115C1" w:rsidP="00B115C1">
      <w:pPr>
        <w:spacing w:after="0" w:line="240" w:lineRule="auto"/>
        <w:ind w:left="-567" w:right="465"/>
        <w:rPr>
          <w:rFonts w:eastAsia="Times New Roman" w:cstheme="minorHAnsi"/>
          <w:bCs/>
          <w:sz w:val="24"/>
          <w:szCs w:val="24"/>
          <w:lang w:eastAsia="fr-FR"/>
        </w:rPr>
      </w:pPr>
      <w:r>
        <w:rPr>
          <w:rFonts w:eastAsia="Times New Roman" w:cstheme="minorHAnsi"/>
          <w:bCs/>
          <w:sz w:val="24"/>
          <w:szCs w:val="24"/>
          <w:lang w:eastAsia="fr-FR"/>
        </w:rPr>
        <w:t>2. thésaurus des interactions de l’ANSM – dernière mise à jour septembre 2016 (</w:t>
      </w:r>
      <w:hyperlink r:id="rId11" w:anchor="paragraph_1798" w:history="1">
        <w:r w:rsidRPr="00607511">
          <w:rPr>
            <w:rStyle w:val="Lienhypertexte"/>
            <w:rFonts w:eastAsia="Times New Roman" w:cstheme="minorHAnsi"/>
            <w:sz w:val="24"/>
            <w:szCs w:val="24"/>
            <w:lang w:eastAsia="fr-FR"/>
          </w:rPr>
          <w:t>http://ansm.sante.fr/Dossiers/Interactions-medicamenteuses/Interactions-medicamenteuses/(offset)/0#paragraph_1798</w:t>
        </w:r>
      </w:hyperlink>
      <w:r>
        <w:rPr>
          <w:rFonts w:eastAsia="Times New Roman" w:cstheme="minorHAnsi"/>
          <w:bCs/>
          <w:sz w:val="24"/>
          <w:szCs w:val="24"/>
          <w:lang w:eastAsia="fr-FR"/>
        </w:rPr>
        <w:t xml:space="preserve"> ). Vérifier que les contre-indications absolues du thesaurus </w:t>
      </w:r>
      <w:r w:rsidR="002B2056">
        <w:rPr>
          <w:rFonts w:eastAsia="Times New Roman" w:cstheme="minorHAnsi"/>
          <w:bCs/>
          <w:sz w:val="24"/>
          <w:szCs w:val="24"/>
          <w:lang w:eastAsia="fr-FR"/>
        </w:rPr>
        <w:t>soient</w:t>
      </w:r>
      <w:r>
        <w:rPr>
          <w:rFonts w:eastAsia="Times New Roman" w:cstheme="minorHAnsi"/>
          <w:bCs/>
          <w:sz w:val="24"/>
          <w:szCs w:val="24"/>
          <w:lang w:eastAsia="fr-FR"/>
        </w:rPr>
        <w:t xml:space="preserve"> bien indiquées en rouge dans les réglettes.</w:t>
      </w:r>
    </w:p>
    <w:p w14:paraId="3BA8B395" w14:textId="77777777" w:rsidR="00B115C1" w:rsidRDefault="00B115C1" w:rsidP="00B115C1">
      <w:pPr>
        <w:spacing w:after="0" w:line="240" w:lineRule="auto"/>
        <w:ind w:left="-567" w:right="465"/>
        <w:rPr>
          <w:rFonts w:eastAsia="Times New Roman" w:cstheme="minorHAnsi"/>
          <w:bCs/>
          <w:sz w:val="24"/>
          <w:szCs w:val="24"/>
          <w:lang w:eastAsia="fr-FR"/>
        </w:rPr>
      </w:pPr>
      <w:r>
        <w:rPr>
          <w:rFonts w:eastAsia="Times New Roman" w:cstheme="minorHAnsi"/>
          <w:bCs/>
          <w:sz w:val="24"/>
          <w:szCs w:val="24"/>
          <w:lang w:eastAsia="fr-FR"/>
        </w:rPr>
        <w:t>3. site Vidal.fr (si les deux autres sources ne suffisent pas ou divergent)</w:t>
      </w:r>
    </w:p>
    <w:p w14:paraId="51FE1F76" w14:textId="77777777" w:rsidR="002B2056" w:rsidRDefault="00B115C1" w:rsidP="00B115C1">
      <w:pPr>
        <w:spacing w:after="0" w:line="240" w:lineRule="auto"/>
        <w:ind w:left="-567" w:right="465"/>
        <w:rPr>
          <w:rFonts w:eastAsia="Times New Roman" w:cstheme="minorHAnsi"/>
          <w:bCs/>
          <w:szCs w:val="24"/>
          <w:lang w:eastAsia="fr-FR"/>
        </w:rPr>
      </w:pPr>
      <w:r>
        <w:rPr>
          <w:rFonts w:eastAsia="Times New Roman" w:cstheme="minorHAnsi"/>
          <w:bCs/>
          <w:sz w:val="24"/>
          <w:szCs w:val="24"/>
          <w:lang w:eastAsia="fr-FR"/>
        </w:rPr>
        <w:t xml:space="preserve">4. Guide des interactions de la Revue Prescrire </w:t>
      </w:r>
      <w:r w:rsidRPr="00751B29">
        <w:rPr>
          <w:rFonts w:eastAsia="Times New Roman" w:cstheme="minorHAnsi"/>
          <w:bCs/>
          <w:sz w:val="18"/>
          <w:szCs w:val="24"/>
          <w:lang w:eastAsia="fr-FR"/>
        </w:rPr>
        <w:t>(</w:t>
      </w:r>
      <w:hyperlink r:id="rId12" w:history="1">
        <w:r w:rsidRPr="00751B29">
          <w:rPr>
            <w:rStyle w:val="Lienhypertexte"/>
            <w:rFonts w:eastAsia="Times New Roman" w:cstheme="minorHAnsi"/>
            <w:sz w:val="18"/>
            <w:szCs w:val="24"/>
            <w:lang w:eastAsia="fr-FR"/>
          </w:rPr>
          <w:t>http://www.prescrire.org/Fr/123/513/49138/0/PositionDetails.aspx</w:t>
        </w:r>
      </w:hyperlink>
      <w:r w:rsidRPr="00751B29">
        <w:rPr>
          <w:rFonts w:eastAsia="Times New Roman" w:cstheme="minorHAnsi"/>
          <w:bCs/>
          <w:sz w:val="18"/>
          <w:szCs w:val="24"/>
          <w:lang w:eastAsia="fr-FR"/>
        </w:rPr>
        <w:t>)</w:t>
      </w:r>
      <w:r>
        <w:rPr>
          <w:rFonts w:eastAsia="Times New Roman" w:cstheme="minorHAnsi"/>
          <w:bCs/>
          <w:sz w:val="18"/>
          <w:szCs w:val="24"/>
          <w:lang w:eastAsia="fr-FR"/>
        </w:rPr>
        <w:t xml:space="preserve">, </w:t>
      </w:r>
    </w:p>
    <w:p w14:paraId="1D09E4E2" w14:textId="77777777" w:rsidR="00B115C1" w:rsidRDefault="00B115C1" w:rsidP="00B115C1">
      <w:pPr>
        <w:spacing w:after="0" w:line="240" w:lineRule="auto"/>
        <w:ind w:left="-567" w:right="465"/>
        <w:rPr>
          <w:rFonts w:eastAsia="Times New Roman" w:cstheme="minorHAnsi"/>
          <w:bCs/>
          <w:sz w:val="24"/>
          <w:szCs w:val="24"/>
          <w:lang w:eastAsia="fr-FR"/>
        </w:rPr>
      </w:pPr>
      <w:r>
        <w:rPr>
          <w:rFonts w:eastAsia="Times New Roman" w:cstheme="minorHAnsi"/>
          <w:bCs/>
          <w:sz w:val="24"/>
          <w:szCs w:val="24"/>
          <w:lang w:eastAsia="fr-FR"/>
        </w:rPr>
        <w:t>5. pour les traitements à base de plantes, si ces sources ne suffisent pas nous ajouteront peut-être des sources moins courantes (guide CATIE par exemple ou thèse de pharmacie spécifiquement sur ce sujet) que nous mentionnerons alors au cas par cas. Si aucune source fiable n’est trouvée pour les médicaments à base de plante, nous les retirerons de la liste.</w:t>
      </w:r>
    </w:p>
    <w:p w14:paraId="1F9E84F9" w14:textId="77777777" w:rsidR="00D3230D" w:rsidRDefault="00D3230D"/>
    <w:sectPr w:rsidR="00D3230D" w:rsidSect="00D323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354"/>
    <w:multiLevelType w:val="hybridMultilevel"/>
    <w:tmpl w:val="963611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8203FA7"/>
    <w:multiLevelType w:val="hybridMultilevel"/>
    <w:tmpl w:val="A1AA78BC"/>
    <w:lvl w:ilvl="0" w:tplc="040C000F">
      <w:start w:val="1"/>
      <w:numFmt w:val="decimal"/>
      <w:lvlText w:val="%1."/>
      <w:lvlJc w:val="left"/>
      <w:pPr>
        <w:ind w:left="-20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C1"/>
    <w:rsid w:val="002B2056"/>
    <w:rsid w:val="00B115C1"/>
    <w:rsid w:val="00D3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BE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1"/>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5C1"/>
    <w:pPr>
      <w:ind w:left="720"/>
      <w:contextualSpacing/>
    </w:pPr>
  </w:style>
  <w:style w:type="character" w:styleId="Lienhypertexte">
    <w:name w:val="Hyperlink"/>
    <w:basedOn w:val="Policepardfaut"/>
    <w:uiPriority w:val="99"/>
    <w:unhideWhenUsed/>
    <w:rsid w:val="00B115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1"/>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5C1"/>
    <w:pPr>
      <w:ind w:left="720"/>
      <w:contextualSpacing/>
    </w:pPr>
  </w:style>
  <w:style w:type="character" w:styleId="Lienhypertexte">
    <w:name w:val="Hyperlink"/>
    <w:basedOn w:val="Policepardfaut"/>
    <w:uiPriority w:val="99"/>
    <w:unhideWhenUsed/>
    <w:rsid w:val="00B11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nsm.sante.fr/Dossiers/Interactions-medicamenteuses/Interactions-medicamenteuses/(offset)/0" TargetMode="External"/><Relationship Id="rId12" Type="http://schemas.openxmlformats.org/officeDocument/2006/relationships/hyperlink" Target="http://www.prescrire.org/Fr/123/513/49138/0/PositionDetails.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a.europa.eu/ema/index.jsp?curl=pages/medicines/landing/epar_search.jsp&amp;mid=WC0b01ac058001d124" TargetMode="External"/><Relationship Id="rId7" Type="http://schemas.openxmlformats.org/officeDocument/2006/relationships/hyperlink" Target="http://ansm.sante.fr/Services/Repertoire-des-medicaments" TargetMode="External"/><Relationship Id="rId8" Type="http://schemas.openxmlformats.org/officeDocument/2006/relationships/hyperlink" Target="http://www.theriaque.org/apps/recherche/rch_simple.php" TargetMode="External"/><Relationship Id="rId9" Type="http://schemas.openxmlformats.org/officeDocument/2006/relationships/hyperlink" Target="http://www.hiv-druginteractions.org/checker" TargetMode="External"/><Relationship Id="rId10" Type="http://schemas.openxmlformats.org/officeDocument/2006/relationships/hyperlink" Target="http://www.hep-druginteraction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2224</Characters>
  <Application>Microsoft Macintosh Word</Application>
  <DocSecurity>0</DocSecurity>
  <Lines>18</Lines>
  <Paragraphs>5</Paragraphs>
  <ScaleCrop>false</ScaleCrop>
  <Company>Actions Traitements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Sehade Mahammedi</dc:creator>
  <cp:keywords/>
  <dc:description/>
  <cp:lastModifiedBy>Sehade Mahammedi</cp:lastModifiedBy>
  <cp:revision>2</cp:revision>
  <dcterms:created xsi:type="dcterms:W3CDTF">2018-12-12T20:04:00Z</dcterms:created>
  <dcterms:modified xsi:type="dcterms:W3CDTF">2018-12-12T20:07:00Z</dcterms:modified>
</cp:coreProperties>
</file>